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The Sixteenth Annual University of Maine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Clinical Geriatrics Virtual Colloquium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Advancing Anti-Racism, Diversity, Equity, and Inclusion in the Delivery of Age-Friendly Health Care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Monday, October 25, 2021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                                                                         8:30 am - 3:30 pm</w:t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Reading Resources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Assembled by 2021-2022 UMaine Center on Aging MSW Intern Maren Leach</w:t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Journal Articles, Reports, and Other Web-based Resources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Acho, E. (2020).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Uncomfortable conversations with a black man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Flatiron Books.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African American older adults and race-related stress. (n.d.).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American Psychological Association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4.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Chrisler, J. C., Barney, A., &amp; Palatino, B. (2016). Ageism can be hazardous to women’s health: ageism, sexism, and stereotypes of older women in the healthcare system.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Journal of Social Issues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86–104.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https://doi.org/10.1111/josi.12157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Dassieu, L., &amp; Sourial, N. (2021). Tailoring interventions for social isolation among older persons during the COVID-19 pandemic: challenges and pathways to healthcare equity.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International Journal for Equity in Health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1-3.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https://link.gale.com/apps/doc/A650600322/PPNU?u=maine_orono&amp;sid=summon&amp;xid=d9a473af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DiAngelo, R. J. (2020).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White Fragility: Why it's so hard for white people to talk about racism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Beacon Press.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​​Espinoza, R. (2017, November 8).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Racial and gender inequality is harming long-term care-but we can fix this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HuffPost. Retrieved October 19, 2021, from https://www.huffpost.com/entry/racial-and-gender-inequality-is-harming-long-term-care_b_5a0314e0e4b0b422a3c5ce03#. 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Espinoza, R., &amp; Accius, J. C. (2021, September 29).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Covid-19 needs a racial justice response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ASA Generations. Retrieved October 18, 2021, from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https://generations.asaging.org/covid-19-needs-racial-justice-response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Ferraro, K. F., Kemp, B. R., &amp; Williams, M. M. (2017). Diverse aging and health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inequality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by race and ethnicity.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Innovation in Aging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2-7.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https://doi.org/10.1093/geroni/igx002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Franckhauser, M. (2020, February 20). Racial Disparities in Aging.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JSI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https://www.jsi.com/racial-disparities-in-aging/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Fredriksen-Goldsen, K. I., Shiu, C., Bryan, A. E. B., Goldsen, J., &amp; Kim, H.-J. (2017). Health Equity and Aging of Bisexual Older Adults: Pathways of Risk and Resilience.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The Journals of Gerontology. Series B, Psychological Sciences and Social Sciences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(3), 468–478.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https://doi.org/10.1093/geronb/gbw120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Kendi, I. X.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highlight w:val="white"/>
          <w:rtl w:val="0"/>
        </w:rPr>
        <w:t xml:space="preserve">How to be an antiracist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. One World. 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Lee, K., Mauldin, R. L., Tang, W., Connolly, J., Harwerth, J., &amp; Magruder, K. (2021). Examining racial and ethnic disparities among older adults in long-term care facilities.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The Gerontologist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61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(6), 858–869.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https://doi.org/10.1093/geront/gnab035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Llorente, M. &amp; APA Council on Geriatric Psychiatry. (2018).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Culture, heritage, and diversity in older adult mental health care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American Psychiatric Association Publishing.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81-210.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http://ebookcentral.proquest.com/lib/umaine/detail.action?docID=5524377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Northridge, M. E., Shedlin, M., Schrimshaw, E. W., Estrada, I., De La Cruz, L., Peralta, R., Birdsall, S., Metcalf, S. S., Chakraborty, B., &amp; Kunzel, C. (2017). Recruitment of racial/ethnic minority older adults through community sites for focus group discussions.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BMC Public Health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2-9.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https://link.gale.com/apps/doc/A511368419/PPNU?u=maine_orono&amp;sid=summon&amp;xid=a66c74f6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0066cc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Rämgård, M., Carlson, E., Mangrio, E., Malmö University, Faculty of Health and Society, &amp; Care Science (VV). (2016). Strategies for diversity: medical clowns in dementia care - an ethnographic study.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BMC Geriatrics, 16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1-8.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66cc"/>
            <w:highlight w:val="white"/>
            <w:rtl w:val="0"/>
          </w:rPr>
          <w:t xml:space="preserve">https://doi.org/10.1186/s12877-016-0325-z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0066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Rogers, S. E., Thrasher, A. D., Miao, Y., Boscardin, W. J., &amp; Smith, A. K. (2015). Discrimination in healthcare settings is associated with disability in older adults: health and retirement study, 2008-2012.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Journal of general internal medicine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(10), 1-7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highlight w:val="white"/>
          <w:rtl w:val="0"/>
        </w:rPr>
        <w:t xml:space="preserve">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https://doi.org/10.1007/s11606-015-3233-6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Selassie, G. (2020).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Health disparities facing older adults of color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National Health Law Program.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https://healthlaw.org/health-disparities-facing-older-adults-of-color-amid-covid-19-guest-blog-by-justice-in-aging/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Sequist, T. (2021). Equity, racism and healthcare delivery systems: COVID and beyond.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The American Journal of Geriatric Psychiatry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(4, Supplement),16.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https://doi.org/10.1016/j.jagp.2021.02.046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0066cc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Shippee, T. P., Akosionu, O., Ng, W., Woodhouse, M., Duan, Y., Thao, M. S., &amp; Bowblis, J. R. (2020). COVID-19 pandemic: Exacerbating racial/ethnic disparities in long-term services and supports.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Journal of Aging &amp; Social Policy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(4–5), 323–333.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https://doi.org/10.1080/08959420.2020.1772004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0066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2121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Sloane, P. D., Yearby, R., Konetzka, R. T., Li, Y., Espinoza, R., &amp; Zimmerman, S. (2021). Addressing Systemic Racism in Nursing Homes: A Time for Action.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highlight w:val="white"/>
          <w:rtl w:val="0"/>
        </w:rPr>
        <w:t xml:space="preserve">Journal of the American Medical Directors Association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highlight w:val="whit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highlight w:val="white"/>
          <w:rtl w:val="0"/>
        </w:rPr>
        <w:t xml:space="preserve">(4), 886–892.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https://doi.org/10.1016/j.jamda.2021.02.023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Taha, S., Bernard, L., Holmes, D., &amp; Abboud, S. (2021). Advocating for LGBTQ+ older adults: A review of the role of executive nurses.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Nursing Management (Harrow, London, England)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(1), 26–30.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https://doi.org/10.7748/nm.2020.e1965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Xiao, L. D., Willis, E., Harrington, A., Gillham, D., De Bellis, A., Morey, W., &amp; Jeffers, L. (2017). Resident and family member perceptions of cultural diversity in aged care homes.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Nursing &amp; Health Sciences, 19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(1), 59-65.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66cc"/>
            <w:highlight w:val="white"/>
            <w:rtl w:val="0"/>
          </w:rPr>
          <w:t xml:space="preserve">https://doi.org/10.1111/nhs.12302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after="160" w:line="240" w:lineRule="auto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after="160" w:line="240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Zanetos, J. M., &amp; Skipper, A. W. (2020). The effects of health care policies: LGBTQ aging adults.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Journal of Gerontological Nursing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46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(3), 9–13.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rtl w:val="0"/>
          </w:rPr>
          <w:t xml:space="preserve">https://doi.org/10.3928/00989134-20200203-02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color w:val="30303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i.org/10.1186/s12877-016-0325-z" TargetMode="External"/><Relationship Id="rId22" Type="http://schemas.openxmlformats.org/officeDocument/2006/relationships/hyperlink" Target="https://healthlaw.org/health-disparities-facing-older-adults-of-color-amid-covid-19-guest-blog-by-justice-in-aging/" TargetMode="External"/><Relationship Id="rId21" Type="http://schemas.openxmlformats.org/officeDocument/2006/relationships/hyperlink" Target="https://doi.org/10.1007/s11606-015-3233-6" TargetMode="External"/><Relationship Id="rId24" Type="http://schemas.openxmlformats.org/officeDocument/2006/relationships/hyperlink" Target="https://doi.org/10.1016/j.jagp.2021.02.046" TargetMode="External"/><Relationship Id="rId23" Type="http://schemas.openxmlformats.org/officeDocument/2006/relationships/hyperlink" Target="https://healthlaw.org/health-disparities-facing-older-adults-of-color-amid-covid-19-guest-blog-by-justice-in-ag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nerations.asaging.org/covid-19-needs-racial-justice-response" TargetMode="External"/><Relationship Id="rId26" Type="http://schemas.openxmlformats.org/officeDocument/2006/relationships/hyperlink" Target="https://doi.org/10.1080/08959420.2020.1772004" TargetMode="External"/><Relationship Id="rId25" Type="http://schemas.openxmlformats.org/officeDocument/2006/relationships/hyperlink" Target="https://doi.org/10.1016/j.jagp.2021.02.046" TargetMode="External"/><Relationship Id="rId28" Type="http://schemas.openxmlformats.org/officeDocument/2006/relationships/hyperlink" Target="https://doi.org/10.1016/j.jamda.2021.02.023" TargetMode="External"/><Relationship Id="rId27" Type="http://schemas.openxmlformats.org/officeDocument/2006/relationships/hyperlink" Target="https://doi.org/10.1080/08959420.2020.1772004" TargetMode="External"/><Relationship Id="rId5" Type="http://schemas.openxmlformats.org/officeDocument/2006/relationships/styles" Target="styles.xml"/><Relationship Id="rId6" Type="http://schemas.openxmlformats.org/officeDocument/2006/relationships/hyperlink" Target="https://doi.org/10.1111/josi.12157" TargetMode="External"/><Relationship Id="rId29" Type="http://schemas.openxmlformats.org/officeDocument/2006/relationships/hyperlink" Target="https://doi.org/10.7748/nm.2020.e1965" TargetMode="External"/><Relationship Id="rId7" Type="http://schemas.openxmlformats.org/officeDocument/2006/relationships/hyperlink" Target="https://doi.org/10.1111/josi.12157" TargetMode="External"/><Relationship Id="rId8" Type="http://schemas.openxmlformats.org/officeDocument/2006/relationships/hyperlink" Target="https://link.gale.com/apps/doc/A650600322/PPNU?u=maine_orono&amp;sid=summon&amp;xid=d9a473af" TargetMode="External"/><Relationship Id="rId31" Type="http://schemas.openxmlformats.org/officeDocument/2006/relationships/hyperlink" Target="https://doi.org/10.1111/nhs.12302" TargetMode="External"/><Relationship Id="rId30" Type="http://schemas.openxmlformats.org/officeDocument/2006/relationships/hyperlink" Target="https://doi.org/10.7748/nm.2020.e1965" TargetMode="External"/><Relationship Id="rId11" Type="http://schemas.openxmlformats.org/officeDocument/2006/relationships/hyperlink" Target="https://www.jsi.com/racial-disparities-in-aging/" TargetMode="External"/><Relationship Id="rId33" Type="http://schemas.openxmlformats.org/officeDocument/2006/relationships/hyperlink" Target="https://doi.org/10.3928/00989134-20200203-02" TargetMode="External"/><Relationship Id="rId10" Type="http://schemas.openxmlformats.org/officeDocument/2006/relationships/hyperlink" Target="https://doi.org/10.1093/geroni/igx002" TargetMode="External"/><Relationship Id="rId32" Type="http://schemas.openxmlformats.org/officeDocument/2006/relationships/hyperlink" Target="https://doi.org/10.3928/00989134-20200203-02" TargetMode="External"/><Relationship Id="rId13" Type="http://schemas.openxmlformats.org/officeDocument/2006/relationships/hyperlink" Target="https://doi.org/10.1093/geronb/gbw120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www.jsi.com/racial-disparities-in-aging/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doi.org/10.1093/geront/gnab035" TargetMode="External"/><Relationship Id="rId14" Type="http://schemas.openxmlformats.org/officeDocument/2006/relationships/hyperlink" Target="https://doi.org/10.1093/geronb/gbw120" TargetMode="External"/><Relationship Id="rId17" Type="http://schemas.openxmlformats.org/officeDocument/2006/relationships/hyperlink" Target="http://ebookcentral.proquest.com/lib/umaine/detail.action?docID=5524377" TargetMode="External"/><Relationship Id="rId16" Type="http://schemas.openxmlformats.org/officeDocument/2006/relationships/hyperlink" Target="https://doi.org/10.1093/geront/gnab035" TargetMode="External"/><Relationship Id="rId19" Type="http://schemas.openxmlformats.org/officeDocument/2006/relationships/hyperlink" Target="https://link.gale.com/apps/doc/A511368419/PPNU?u=maine_orono&amp;sid=summon&amp;xid=a66c74f6" TargetMode="External"/><Relationship Id="rId18" Type="http://schemas.openxmlformats.org/officeDocument/2006/relationships/hyperlink" Target="http://ebookcentral.proquest.com/lib/umaine/detail.action?docID=552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